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181"/>
      </w:tblGrid>
      <w:tr w:rsidR="00FB2B05" w14:paraId="57AC5A95" w14:textId="77777777" w:rsidTr="00A94DDB">
        <w:tc>
          <w:tcPr>
            <w:tcW w:w="1555" w:type="dxa"/>
          </w:tcPr>
          <w:p w14:paraId="194C0193" w14:textId="2E7AFE63" w:rsidR="00215EF2" w:rsidRDefault="00215EF2" w:rsidP="00215EF2">
            <w:pPr>
              <w:jc w:val="center"/>
              <w:rPr>
                <w:rFonts w:cstheme="minorHAnsi"/>
                <w:color w:val="000000"/>
                <w:sz w:val="24"/>
                <w:szCs w:val="24"/>
              </w:rPr>
            </w:pPr>
          </w:p>
        </w:tc>
        <w:tc>
          <w:tcPr>
            <w:tcW w:w="8181" w:type="dxa"/>
          </w:tcPr>
          <w:p w14:paraId="13E51D93" w14:textId="438A5F68" w:rsidR="00FB2B05" w:rsidRPr="00FB2B05" w:rsidRDefault="00FB2B05" w:rsidP="00FB2B05">
            <w:pPr>
              <w:pStyle w:val="Header"/>
              <w:jc w:val="center"/>
              <w:rPr>
                <w:color w:val="0000FF"/>
                <w:sz w:val="16"/>
                <w:szCs w:val="16"/>
                <w:u w:val="single"/>
              </w:rPr>
            </w:pPr>
          </w:p>
        </w:tc>
      </w:tr>
    </w:tbl>
    <w:p w14:paraId="0074BF7A" w14:textId="77777777" w:rsidR="00AE608D" w:rsidRDefault="00AE608D" w:rsidP="00A65F86">
      <w:pPr>
        <w:jc w:val="center"/>
        <w:rPr>
          <w:b/>
          <w:bCs/>
          <w:sz w:val="24"/>
          <w:szCs w:val="24"/>
        </w:rPr>
      </w:pPr>
      <w:r w:rsidRPr="00A3294F">
        <w:rPr>
          <w:b/>
          <w:bCs/>
          <w:sz w:val="24"/>
          <w:szCs w:val="24"/>
        </w:rPr>
        <w:t>Ambulatory Monitor Analysis Course for Technician Advanced Practice</w:t>
      </w:r>
    </w:p>
    <w:p w14:paraId="5D70BFCE" w14:textId="77777777" w:rsidR="00A3294F" w:rsidRPr="00A3294F" w:rsidRDefault="00A3294F" w:rsidP="00AE608D">
      <w:pPr>
        <w:rPr>
          <w:b/>
          <w:bCs/>
          <w:sz w:val="24"/>
          <w:szCs w:val="24"/>
        </w:rPr>
      </w:pPr>
    </w:p>
    <w:p w14:paraId="19E26458" w14:textId="77777777" w:rsidR="00AE608D" w:rsidRDefault="00AE608D" w:rsidP="00AE608D">
      <w:pPr>
        <w:jc w:val="both"/>
      </w:pPr>
      <w:r w:rsidRPr="00F15FF8">
        <w:t xml:space="preserve">This course is </w:t>
      </w:r>
      <w:r>
        <w:t xml:space="preserve">intended </w:t>
      </w:r>
      <w:r w:rsidRPr="00F15FF8">
        <w:t>for qualified cardiac physiology technicians who are selected by their clinical leader to perform Holter and or event monitor analysis and reporting.  This course will provide the theor</w:t>
      </w:r>
      <w:r>
        <w:t>y</w:t>
      </w:r>
      <w:r w:rsidRPr="00F15FF8">
        <w:t xml:space="preserve"> and practical support for undertaking this training</w:t>
      </w:r>
      <w:r>
        <w:t xml:space="preserve"> and </w:t>
      </w:r>
      <w:r w:rsidRPr="00F15FF8">
        <w:t>will allow a cardiac physiology technician to practice at an advanced level which is beyond the standard technician level of practice. </w:t>
      </w:r>
    </w:p>
    <w:p w14:paraId="1D304037" w14:textId="0D283D63" w:rsidR="00AE608D" w:rsidRPr="00DF575E" w:rsidRDefault="00AE608D" w:rsidP="00AE608D">
      <w:pPr>
        <w:jc w:val="both"/>
        <w:rPr>
          <w:b/>
          <w:bCs/>
        </w:rPr>
      </w:pPr>
      <w:r w:rsidRPr="00DF575E">
        <w:rPr>
          <w:b/>
          <w:bCs/>
        </w:rPr>
        <w:t xml:space="preserve">Course </w:t>
      </w:r>
      <w:r w:rsidR="00A65F86">
        <w:rPr>
          <w:b/>
          <w:bCs/>
        </w:rPr>
        <w:t>C</w:t>
      </w:r>
      <w:r>
        <w:rPr>
          <w:b/>
          <w:bCs/>
        </w:rPr>
        <w:t>ontent</w:t>
      </w:r>
    </w:p>
    <w:p w14:paraId="5F1C3E74" w14:textId="77777777" w:rsidR="00AE608D" w:rsidRDefault="00AE608D" w:rsidP="00AE608D">
      <w:pPr>
        <w:jc w:val="both"/>
      </w:pPr>
      <w:r>
        <w:t xml:space="preserve">The course includes the following modules which are expected to take approximately 6 months to complete. </w:t>
      </w:r>
    </w:p>
    <w:p w14:paraId="5994E0BD" w14:textId="77777777" w:rsidR="00AE608D" w:rsidRDefault="00AE608D" w:rsidP="00AE608D">
      <w:pPr>
        <w:pStyle w:val="ListParagraph"/>
        <w:numPr>
          <w:ilvl w:val="0"/>
          <w:numId w:val="8"/>
        </w:numPr>
        <w:spacing w:line="259" w:lineRule="auto"/>
        <w:jc w:val="both"/>
      </w:pPr>
      <w:r>
        <w:t>ECG Interpretation</w:t>
      </w:r>
    </w:p>
    <w:p w14:paraId="3F7E86BB" w14:textId="77777777" w:rsidR="00AE608D" w:rsidRPr="00885BA4" w:rsidRDefault="00AE608D" w:rsidP="00AE608D">
      <w:pPr>
        <w:pStyle w:val="ListParagraph"/>
        <w:numPr>
          <w:ilvl w:val="0"/>
          <w:numId w:val="8"/>
        </w:numPr>
        <w:spacing w:line="259" w:lineRule="auto"/>
        <w:jc w:val="both"/>
        <w:rPr>
          <w:lang w:val="en-US"/>
        </w:rPr>
      </w:pPr>
      <w:r w:rsidRPr="00885BA4">
        <w:rPr>
          <w:lang w:val="en-US"/>
        </w:rPr>
        <w:t>Ambulatory monitor analysis and reporting – theory and practical</w:t>
      </w:r>
    </w:p>
    <w:p w14:paraId="74038621" w14:textId="77777777" w:rsidR="00AE608D" w:rsidRDefault="00AE608D" w:rsidP="00AE608D">
      <w:pPr>
        <w:pStyle w:val="ListParagraph"/>
        <w:numPr>
          <w:ilvl w:val="0"/>
          <w:numId w:val="8"/>
        </w:numPr>
        <w:spacing w:line="259" w:lineRule="auto"/>
        <w:jc w:val="both"/>
      </w:pPr>
      <w:r>
        <w:t>Holter case studies</w:t>
      </w:r>
    </w:p>
    <w:p w14:paraId="463D83CB" w14:textId="77777777" w:rsidR="00AE608D" w:rsidRDefault="00AE608D" w:rsidP="00AE608D">
      <w:pPr>
        <w:jc w:val="both"/>
      </w:pPr>
      <w:r>
        <w:t>A certificate will be issued by SCT once the course work has been completed and submitted assignments are evaluated and passed. There is no final exam for this course.</w:t>
      </w:r>
    </w:p>
    <w:p w14:paraId="40F5DA7D" w14:textId="3B851A97" w:rsidR="00AE608D" w:rsidRDefault="00AE608D" w:rsidP="00AE608D">
      <w:pPr>
        <w:jc w:val="both"/>
        <w:rPr>
          <w:b/>
          <w:bCs/>
        </w:rPr>
      </w:pPr>
      <w:r>
        <w:rPr>
          <w:b/>
          <w:bCs/>
        </w:rPr>
        <w:t xml:space="preserve">Course </w:t>
      </w:r>
      <w:r w:rsidR="00A65F86">
        <w:rPr>
          <w:b/>
          <w:bCs/>
        </w:rPr>
        <w:t>E</w:t>
      </w:r>
      <w:r w:rsidRPr="00276E85">
        <w:rPr>
          <w:b/>
          <w:bCs/>
        </w:rPr>
        <w:t xml:space="preserve">ligibility </w:t>
      </w:r>
      <w:r w:rsidR="00A65F86">
        <w:rPr>
          <w:b/>
          <w:bCs/>
        </w:rPr>
        <w:t>C</w:t>
      </w:r>
      <w:r w:rsidRPr="00276E85">
        <w:rPr>
          <w:b/>
          <w:bCs/>
        </w:rPr>
        <w:t>riteria</w:t>
      </w:r>
    </w:p>
    <w:p w14:paraId="32CBBBC9" w14:textId="77777777" w:rsidR="00AE608D" w:rsidRPr="00017DD5" w:rsidRDefault="00AE608D" w:rsidP="00AE608D">
      <w:pPr>
        <w:jc w:val="both"/>
      </w:pPr>
      <w:r>
        <w:t>Requirements for acceptance into this course include:</w:t>
      </w:r>
    </w:p>
    <w:p w14:paraId="4CEFE7B5" w14:textId="77777777" w:rsidR="00AE608D" w:rsidRDefault="00AE608D" w:rsidP="00AE608D">
      <w:pPr>
        <w:pStyle w:val="ListParagraph"/>
        <w:numPr>
          <w:ilvl w:val="0"/>
          <w:numId w:val="7"/>
        </w:numPr>
        <w:spacing w:line="259" w:lineRule="auto"/>
        <w:jc w:val="both"/>
      </w:pPr>
      <w:r>
        <w:t>employment with a job title of: Cardiac Technician or Cardiac Physiology Technician or Physiology Technician</w:t>
      </w:r>
    </w:p>
    <w:p w14:paraId="2A98F4DB" w14:textId="77777777" w:rsidR="00AE608D" w:rsidRDefault="00AE608D" w:rsidP="00AE608D">
      <w:pPr>
        <w:pStyle w:val="ListParagraph"/>
        <w:numPr>
          <w:ilvl w:val="0"/>
          <w:numId w:val="7"/>
        </w:numPr>
        <w:spacing w:line="259" w:lineRule="auto"/>
        <w:jc w:val="both"/>
      </w:pPr>
      <w:r>
        <w:t>minimum of 1 year’s work experience following completion of CPM (or equivalent) at the discretion of the clinical leader</w:t>
      </w:r>
    </w:p>
    <w:p w14:paraId="48F630D4" w14:textId="77777777" w:rsidR="00AE608D" w:rsidRDefault="00AE608D" w:rsidP="00AE608D">
      <w:pPr>
        <w:pStyle w:val="ListParagraph"/>
        <w:numPr>
          <w:ilvl w:val="0"/>
          <w:numId w:val="7"/>
        </w:numPr>
        <w:spacing w:line="259" w:lineRule="auto"/>
        <w:jc w:val="both"/>
      </w:pPr>
      <w:r>
        <w:t xml:space="preserve">registration with the CPRB as a physiology technician (Cardiac scope of practice), without conditions on their scope of practice and holds a current APC </w:t>
      </w:r>
    </w:p>
    <w:p w14:paraId="27BC027E" w14:textId="77777777" w:rsidR="00AE608D" w:rsidRDefault="00AE608D" w:rsidP="00AE608D">
      <w:pPr>
        <w:pStyle w:val="ListParagraph"/>
        <w:numPr>
          <w:ilvl w:val="0"/>
          <w:numId w:val="7"/>
        </w:numPr>
        <w:spacing w:line="259" w:lineRule="auto"/>
        <w:jc w:val="both"/>
      </w:pPr>
      <w:r>
        <w:t>approval from the department clinical lead</w:t>
      </w:r>
    </w:p>
    <w:p w14:paraId="72B86E91" w14:textId="77777777" w:rsidR="00AE608D" w:rsidRDefault="00AE608D" w:rsidP="00AE608D">
      <w:pPr>
        <w:pStyle w:val="ListParagraph"/>
        <w:numPr>
          <w:ilvl w:val="0"/>
          <w:numId w:val="7"/>
        </w:numPr>
        <w:spacing w:line="259" w:lineRule="auto"/>
        <w:jc w:val="both"/>
      </w:pPr>
      <w:r>
        <w:t>a clinical supervisor who meets the following criteria</w:t>
      </w:r>
    </w:p>
    <w:p w14:paraId="2876A5DE" w14:textId="30D11652" w:rsidR="00AE608D" w:rsidRPr="00276E85" w:rsidRDefault="00AE608D" w:rsidP="00AE608D">
      <w:pPr>
        <w:jc w:val="both"/>
        <w:rPr>
          <w:b/>
          <w:bCs/>
        </w:rPr>
      </w:pPr>
      <w:r w:rsidRPr="00276E85">
        <w:rPr>
          <w:b/>
          <w:bCs/>
        </w:rPr>
        <w:t xml:space="preserve">Clinical </w:t>
      </w:r>
      <w:r w:rsidR="00A65F86">
        <w:rPr>
          <w:b/>
          <w:bCs/>
        </w:rPr>
        <w:t>S</w:t>
      </w:r>
      <w:r w:rsidRPr="00276E85">
        <w:rPr>
          <w:b/>
          <w:bCs/>
        </w:rPr>
        <w:t xml:space="preserve">upervisor </w:t>
      </w:r>
      <w:r w:rsidR="00A65F86">
        <w:rPr>
          <w:b/>
          <w:bCs/>
        </w:rPr>
        <w:t>C</w:t>
      </w:r>
      <w:r w:rsidRPr="00276E85">
        <w:rPr>
          <w:b/>
          <w:bCs/>
        </w:rPr>
        <w:t>riteria</w:t>
      </w:r>
    </w:p>
    <w:p w14:paraId="6AC5EC6B" w14:textId="77777777" w:rsidR="00AE608D" w:rsidRDefault="00AE608D" w:rsidP="00AE608D">
      <w:pPr>
        <w:pStyle w:val="ListParagraph"/>
        <w:numPr>
          <w:ilvl w:val="0"/>
          <w:numId w:val="6"/>
        </w:numPr>
        <w:spacing w:line="259" w:lineRule="auto"/>
        <w:jc w:val="both"/>
      </w:pPr>
      <w:r>
        <w:t xml:space="preserve">job title of Cardiac Physiologist </w:t>
      </w:r>
    </w:p>
    <w:p w14:paraId="460BBC9B" w14:textId="77777777" w:rsidR="00AE608D" w:rsidRDefault="00AE608D" w:rsidP="00AE608D">
      <w:pPr>
        <w:pStyle w:val="ListParagraph"/>
        <w:numPr>
          <w:ilvl w:val="0"/>
          <w:numId w:val="6"/>
        </w:numPr>
        <w:spacing w:line="259" w:lineRule="auto"/>
        <w:jc w:val="both"/>
      </w:pPr>
      <w:r>
        <w:t xml:space="preserve">registration with the CPRB as a cardiac physiologist, without conditions on their scope of practice and holds a current APC </w:t>
      </w:r>
    </w:p>
    <w:p w14:paraId="4B4F6A56" w14:textId="77777777" w:rsidR="00AE608D" w:rsidRDefault="00AE608D" w:rsidP="00AE608D">
      <w:pPr>
        <w:pStyle w:val="ListParagraph"/>
        <w:numPr>
          <w:ilvl w:val="0"/>
          <w:numId w:val="6"/>
        </w:numPr>
        <w:spacing w:line="259" w:lineRule="auto"/>
        <w:jc w:val="both"/>
      </w:pPr>
      <w:r>
        <w:t xml:space="preserve">minimum of 2 years work experience post-qualifying </w:t>
      </w:r>
    </w:p>
    <w:p w14:paraId="40AF51E3" w14:textId="77777777" w:rsidR="00AE608D" w:rsidRDefault="00AE608D" w:rsidP="00AE608D">
      <w:pPr>
        <w:pStyle w:val="ListParagraph"/>
        <w:numPr>
          <w:ilvl w:val="0"/>
          <w:numId w:val="6"/>
        </w:numPr>
        <w:spacing w:line="259" w:lineRule="auto"/>
        <w:jc w:val="both"/>
      </w:pPr>
      <w:r>
        <w:t>currently analyses and reports Holters.</w:t>
      </w:r>
    </w:p>
    <w:p w14:paraId="20E559D8" w14:textId="0605F989" w:rsidR="00AE608D" w:rsidRDefault="00AE608D" w:rsidP="00AE608D">
      <w:pPr>
        <w:jc w:val="both"/>
        <w:rPr>
          <w:b/>
          <w:bCs/>
        </w:rPr>
      </w:pPr>
      <w:r>
        <w:rPr>
          <w:b/>
          <w:bCs/>
        </w:rPr>
        <w:t xml:space="preserve">Hospital </w:t>
      </w:r>
      <w:r w:rsidR="00A65F86">
        <w:rPr>
          <w:b/>
          <w:bCs/>
        </w:rPr>
        <w:t>E</w:t>
      </w:r>
      <w:r>
        <w:rPr>
          <w:b/>
          <w:bCs/>
        </w:rPr>
        <w:t xml:space="preserve">ligibility </w:t>
      </w:r>
      <w:r w:rsidR="00A65F86">
        <w:rPr>
          <w:b/>
          <w:bCs/>
        </w:rPr>
        <w:t>C</w:t>
      </w:r>
      <w:r>
        <w:rPr>
          <w:b/>
          <w:bCs/>
        </w:rPr>
        <w:t>riteria</w:t>
      </w:r>
    </w:p>
    <w:p w14:paraId="19B467EC" w14:textId="77777777" w:rsidR="00AE608D" w:rsidRPr="00CE371D" w:rsidRDefault="00AE608D" w:rsidP="00AE608D">
      <w:pPr>
        <w:jc w:val="both"/>
      </w:pPr>
      <w:r w:rsidRPr="00CE371D">
        <w:rPr>
          <w:lang w:val="en-US"/>
        </w:rPr>
        <w:t>Th</w:t>
      </w:r>
      <w:r>
        <w:rPr>
          <w:lang w:val="en-US"/>
        </w:rPr>
        <w:t>is</w:t>
      </w:r>
      <w:r w:rsidRPr="00CE371D">
        <w:rPr>
          <w:lang w:val="en-US"/>
        </w:rPr>
        <w:t xml:space="preserve"> course </w:t>
      </w:r>
      <w:r>
        <w:rPr>
          <w:lang w:val="en-US"/>
        </w:rPr>
        <w:t xml:space="preserve">is </w:t>
      </w:r>
      <w:r w:rsidRPr="00CE371D">
        <w:rPr>
          <w:lang w:val="en-US"/>
        </w:rPr>
        <w:t xml:space="preserve">available </w:t>
      </w:r>
      <w:r>
        <w:rPr>
          <w:lang w:val="en-US"/>
        </w:rPr>
        <w:t>to</w:t>
      </w:r>
      <w:r w:rsidRPr="00CE371D">
        <w:rPr>
          <w:lang w:val="en-US"/>
        </w:rPr>
        <w:t xml:space="preserve"> those who have relevant employment* in an SCT </w:t>
      </w:r>
      <w:r>
        <w:rPr>
          <w:lang w:val="en-US"/>
        </w:rPr>
        <w:t xml:space="preserve">accredited </w:t>
      </w:r>
      <w:r w:rsidRPr="00CE371D">
        <w:rPr>
          <w:lang w:val="en-US"/>
        </w:rPr>
        <w:t xml:space="preserve">hospital where an adequate number of procedures for training are performed by </w:t>
      </w:r>
      <w:r>
        <w:rPr>
          <w:lang w:val="en-US"/>
        </w:rPr>
        <w:t>Cardiac Physiologists.</w:t>
      </w:r>
    </w:p>
    <w:p w14:paraId="390381E8" w14:textId="77777777" w:rsidR="00AE608D" w:rsidRPr="00CE371D" w:rsidRDefault="00AE608D" w:rsidP="00AE608D">
      <w:pPr>
        <w:jc w:val="both"/>
      </w:pPr>
      <w:r w:rsidRPr="00CE371D">
        <w:rPr>
          <w:lang w:val="en-US"/>
        </w:rPr>
        <w:t xml:space="preserve">There must be </w:t>
      </w:r>
      <w:r>
        <w:rPr>
          <w:lang w:val="en-US"/>
        </w:rPr>
        <w:t xml:space="preserve">a </w:t>
      </w:r>
      <w:r w:rsidRPr="00CE371D">
        <w:rPr>
          <w:lang w:val="en-US"/>
        </w:rPr>
        <w:t>suitabl</w:t>
      </w:r>
      <w:r>
        <w:rPr>
          <w:lang w:val="en-US"/>
        </w:rPr>
        <w:t>e number of</w:t>
      </w:r>
      <w:r w:rsidRPr="00CE371D">
        <w:rPr>
          <w:lang w:val="en-US"/>
        </w:rPr>
        <w:t xml:space="preserve"> qualified, registered, and experienced </w:t>
      </w:r>
      <w:r>
        <w:rPr>
          <w:lang w:val="en-US"/>
        </w:rPr>
        <w:t xml:space="preserve">cardiac physiologists who can </w:t>
      </w:r>
      <w:r w:rsidRPr="00CE371D">
        <w:rPr>
          <w:lang w:val="en-US"/>
        </w:rPr>
        <w:t xml:space="preserve">support the practical training requirements of the course. </w:t>
      </w:r>
    </w:p>
    <w:p w14:paraId="569B6B76" w14:textId="77777777" w:rsidR="00AE608D" w:rsidRPr="00CE371D" w:rsidRDefault="00AE608D" w:rsidP="00AE608D">
      <w:pPr>
        <w:jc w:val="both"/>
      </w:pPr>
      <w:r>
        <w:rPr>
          <w:lang w:val="en-US"/>
        </w:rPr>
        <w:t>*</w:t>
      </w:r>
      <w:r w:rsidRPr="00CE371D">
        <w:rPr>
          <w:lang w:val="en-US"/>
        </w:rPr>
        <w:t xml:space="preserve">Relevant employment </w:t>
      </w:r>
      <w:r>
        <w:rPr>
          <w:lang w:val="en-US"/>
        </w:rPr>
        <w:t xml:space="preserve">for this course </w:t>
      </w:r>
      <w:r w:rsidRPr="00CE371D">
        <w:rPr>
          <w:lang w:val="en-US"/>
        </w:rPr>
        <w:t xml:space="preserve">refers to employment with a job title and </w:t>
      </w:r>
      <w:r>
        <w:rPr>
          <w:lang w:val="en-US"/>
        </w:rPr>
        <w:t xml:space="preserve">job </w:t>
      </w:r>
      <w:r w:rsidRPr="00CE371D">
        <w:rPr>
          <w:lang w:val="en-US"/>
        </w:rPr>
        <w:t xml:space="preserve">description </w:t>
      </w:r>
      <w:r>
        <w:rPr>
          <w:lang w:val="en-US"/>
        </w:rPr>
        <w:t xml:space="preserve">of </w:t>
      </w:r>
      <w:r w:rsidRPr="00CE371D">
        <w:rPr>
          <w:lang w:val="en-US"/>
        </w:rPr>
        <w:t>Cardiac</w:t>
      </w:r>
      <w:r>
        <w:rPr>
          <w:lang w:val="en-US"/>
        </w:rPr>
        <w:t xml:space="preserve"> Technician, Cardiac </w:t>
      </w:r>
      <w:r w:rsidRPr="00CE371D">
        <w:rPr>
          <w:lang w:val="en-US"/>
        </w:rPr>
        <w:t>Physiology Technician</w:t>
      </w:r>
      <w:r>
        <w:rPr>
          <w:lang w:val="en-US"/>
        </w:rPr>
        <w:t xml:space="preserve"> or Physiology Technician</w:t>
      </w:r>
      <w:r w:rsidRPr="00CE371D">
        <w:rPr>
          <w:lang w:val="en-US"/>
        </w:rPr>
        <w:t>.</w:t>
      </w:r>
    </w:p>
    <w:p w14:paraId="237660F7" w14:textId="77777777" w:rsidR="00AE608D" w:rsidRDefault="00AE608D" w:rsidP="00AE608D">
      <w:pPr>
        <w:jc w:val="both"/>
        <w:rPr>
          <w:b/>
          <w:bCs/>
        </w:rPr>
      </w:pPr>
    </w:p>
    <w:p w14:paraId="3CA660D4" w14:textId="79758988" w:rsidR="00AE608D" w:rsidRPr="00276E85" w:rsidRDefault="00AE608D" w:rsidP="00AE608D">
      <w:pPr>
        <w:rPr>
          <w:b/>
          <w:bCs/>
        </w:rPr>
      </w:pPr>
      <w:r>
        <w:rPr>
          <w:b/>
          <w:bCs/>
        </w:rPr>
        <w:br w:type="page"/>
      </w:r>
      <w:r w:rsidRPr="00276E85">
        <w:rPr>
          <w:b/>
          <w:bCs/>
        </w:rPr>
        <w:lastRenderedPageBreak/>
        <w:t>Exclusions</w:t>
      </w:r>
    </w:p>
    <w:p w14:paraId="55DD77E3" w14:textId="77777777" w:rsidR="00AE608D" w:rsidRDefault="00AE608D" w:rsidP="00AE608D">
      <w:pPr>
        <w:jc w:val="both"/>
      </w:pPr>
      <w:r>
        <w:t xml:space="preserve">This training does not include analysis of Holter or event monitors recorded from patients with pacemakers or ICDs. </w:t>
      </w:r>
    </w:p>
    <w:p w14:paraId="2C4D1542" w14:textId="77777777" w:rsidR="00AE608D" w:rsidRDefault="00AE608D" w:rsidP="00AE608D">
      <w:pPr>
        <w:jc w:val="both"/>
      </w:pPr>
      <w:r>
        <w:t>Paediatric analysis is at the discretion of the department team leader and will depend on the needs of the department.</w:t>
      </w:r>
    </w:p>
    <w:p w14:paraId="24355DFE" w14:textId="77777777" w:rsidR="00AE608D" w:rsidRPr="00276E85" w:rsidRDefault="00AE608D" w:rsidP="00AE608D">
      <w:pPr>
        <w:jc w:val="both"/>
        <w:rPr>
          <w:b/>
          <w:bCs/>
        </w:rPr>
      </w:pPr>
      <w:r w:rsidRPr="00276E85">
        <w:rPr>
          <w:b/>
          <w:bCs/>
        </w:rPr>
        <w:t>Responsibility</w:t>
      </w:r>
    </w:p>
    <w:p w14:paraId="2E63AB06" w14:textId="77777777" w:rsidR="00AE608D" w:rsidRPr="00F93A26" w:rsidRDefault="00AE608D" w:rsidP="00AE608D">
      <w:pPr>
        <w:jc w:val="both"/>
        <w:rPr>
          <w:rFonts w:cstheme="minorHAnsi"/>
        </w:rPr>
      </w:pPr>
      <w:r>
        <w:rPr>
          <w:rFonts w:cstheme="minorHAnsi"/>
        </w:rPr>
        <w:t>T</w:t>
      </w:r>
      <w:r w:rsidRPr="000833F3">
        <w:rPr>
          <w:rFonts w:cstheme="minorHAnsi"/>
        </w:rPr>
        <w:t xml:space="preserve">he practical training </w:t>
      </w:r>
      <w:r>
        <w:rPr>
          <w:rFonts w:cstheme="minorHAnsi"/>
        </w:rPr>
        <w:t xml:space="preserve">must </w:t>
      </w:r>
      <w:r w:rsidRPr="000833F3">
        <w:rPr>
          <w:rFonts w:cstheme="minorHAnsi"/>
        </w:rPr>
        <w:t xml:space="preserve">be fully supervised </w:t>
      </w:r>
      <w:r>
        <w:rPr>
          <w:rFonts w:cstheme="minorHAnsi"/>
        </w:rPr>
        <w:t xml:space="preserve">until the </w:t>
      </w:r>
      <w:r w:rsidRPr="000833F3">
        <w:rPr>
          <w:rFonts w:cstheme="minorHAnsi"/>
        </w:rPr>
        <w:t xml:space="preserve">required </w:t>
      </w:r>
      <w:r>
        <w:rPr>
          <w:rFonts w:cstheme="minorHAnsi"/>
        </w:rPr>
        <w:t xml:space="preserve">logbook </w:t>
      </w:r>
      <w:r w:rsidRPr="000833F3">
        <w:rPr>
          <w:rFonts w:cstheme="minorHAnsi"/>
        </w:rPr>
        <w:t>and practical assessment</w:t>
      </w:r>
      <w:r>
        <w:rPr>
          <w:rFonts w:cstheme="minorHAnsi"/>
        </w:rPr>
        <w:t xml:space="preserve">s </w:t>
      </w:r>
      <w:r w:rsidRPr="000833F3">
        <w:rPr>
          <w:rFonts w:cstheme="minorHAnsi"/>
        </w:rPr>
        <w:t>ha</w:t>
      </w:r>
      <w:r>
        <w:rPr>
          <w:rFonts w:cstheme="minorHAnsi"/>
        </w:rPr>
        <w:t xml:space="preserve">ve </w:t>
      </w:r>
      <w:r w:rsidRPr="000833F3">
        <w:rPr>
          <w:rFonts w:cstheme="minorHAnsi"/>
        </w:rPr>
        <w:t>been completed.</w:t>
      </w:r>
      <w:r>
        <w:rPr>
          <w:rFonts w:cstheme="minorHAnsi"/>
        </w:rPr>
        <w:t xml:space="preserve"> </w:t>
      </w:r>
    </w:p>
    <w:p w14:paraId="40A4BF2D" w14:textId="77777777" w:rsidR="00AE608D" w:rsidRPr="00276E85" w:rsidRDefault="00AE608D" w:rsidP="00AE608D">
      <w:pPr>
        <w:jc w:val="both"/>
        <w:rPr>
          <w:b/>
          <w:bCs/>
        </w:rPr>
      </w:pPr>
      <w:r w:rsidRPr="00276E85">
        <w:rPr>
          <w:b/>
          <w:bCs/>
        </w:rPr>
        <w:t>Auditing</w:t>
      </w:r>
    </w:p>
    <w:p w14:paraId="0B46EB75" w14:textId="77777777" w:rsidR="00AE608D" w:rsidRDefault="00AE608D" w:rsidP="00AE608D">
      <w:pPr>
        <w:jc w:val="both"/>
      </w:pPr>
      <w:r>
        <w:t>SCT recommends that following completion of this course, Holter and event reports that are performed by technicians, should be audited. The process and duration of this audit is at the discretion of the clinical lead for the service, although SCT recommends the following:</w:t>
      </w:r>
    </w:p>
    <w:p w14:paraId="3AC38D45" w14:textId="77777777" w:rsidR="00AE608D" w:rsidRDefault="00AE608D" w:rsidP="00AE608D">
      <w:pPr>
        <w:pStyle w:val="ListParagraph"/>
        <w:numPr>
          <w:ilvl w:val="0"/>
          <w:numId w:val="6"/>
        </w:numPr>
        <w:spacing w:line="259" w:lineRule="auto"/>
        <w:jc w:val="both"/>
      </w:pPr>
      <w:r>
        <w:t>Auditing is carried out for a minimum of 6 months</w:t>
      </w:r>
    </w:p>
    <w:p w14:paraId="7B0F5885" w14:textId="77777777" w:rsidR="00AE608D" w:rsidRDefault="00AE608D" w:rsidP="00AE608D">
      <w:pPr>
        <w:pStyle w:val="ListParagraph"/>
        <w:numPr>
          <w:ilvl w:val="0"/>
          <w:numId w:val="6"/>
        </w:numPr>
        <w:spacing w:line="259" w:lineRule="auto"/>
        <w:jc w:val="both"/>
      </w:pPr>
      <w:r>
        <w:t>A Cardiac Physiologist, experienced in Holter analysis, thoroughly checks the report, and provides feedback to the person being audited in a timely manner</w:t>
      </w:r>
    </w:p>
    <w:p w14:paraId="16C3D8F6" w14:textId="77777777" w:rsidR="00AE608D" w:rsidRDefault="00AE608D" w:rsidP="00AE608D">
      <w:pPr>
        <w:pStyle w:val="ListParagraph"/>
        <w:numPr>
          <w:ilvl w:val="0"/>
          <w:numId w:val="6"/>
        </w:numPr>
        <w:spacing w:line="259" w:lineRule="auto"/>
        <w:jc w:val="both"/>
      </w:pPr>
      <w:r>
        <w:t>Holter reports are not confirmed and uploaded to the patient’s medical records until they have been approved by the auditor</w:t>
      </w:r>
    </w:p>
    <w:p w14:paraId="7267058B" w14:textId="77777777" w:rsidR="00AE608D" w:rsidRDefault="00AE608D" w:rsidP="00AE608D">
      <w:pPr>
        <w:pStyle w:val="ListParagraph"/>
        <w:numPr>
          <w:ilvl w:val="0"/>
          <w:numId w:val="6"/>
        </w:numPr>
        <w:spacing w:line="259" w:lineRule="auto"/>
        <w:jc w:val="both"/>
      </w:pPr>
      <w:r>
        <w:t>The auditor records their name on the report along with the person who is being audited</w:t>
      </w:r>
    </w:p>
    <w:p w14:paraId="754C9DD4" w14:textId="77777777" w:rsidR="00AE608D" w:rsidRDefault="00AE608D" w:rsidP="00AE608D">
      <w:pPr>
        <w:pStyle w:val="ListParagraph"/>
        <w:numPr>
          <w:ilvl w:val="0"/>
          <w:numId w:val="6"/>
        </w:numPr>
        <w:spacing w:line="259" w:lineRule="auto"/>
        <w:jc w:val="both"/>
      </w:pPr>
      <w:r>
        <w:t>Auditing may continue, at the clinical leader’s discretion, in the form of random selection of Holters or auditing of difficult cases</w:t>
      </w:r>
    </w:p>
    <w:p w14:paraId="51AF18B1" w14:textId="77777777" w:rsidR="00A65F86" w:rsidRDefault="00A65F86" w:rsidP="00AE608D">
      <w:pPr>
        <w:jc w:val="both"/>
      </w:pPr>
    </w:p>
    <w:p w14:paraId="174FC36E" w14:textId="2E42BF3B" w:rsidR="00AE608D" w:rsidRDefault="00AE608D" w:rsidP="00AE608D">
      <w:pPr>
        <w:jc w:val="both"/>
      </w:pPr>
      <w:r>
        <w:t>For further information please contact: info@sct.org.nz</w:t>
      </w:r>
    </w:p>
    <w:p w14:paraId="0FCBE452" w14:textId="77777777" w:rsidR="005410F3" w:rsidRDefault="005410F3" w:rsidP="005410F3">
      <w:pPr>
        <w:rPr>
          <w:rFonts w:cstheme="minorHAnsi"/>
          <w:color w:val="000000"/>
          <w:sz w:val="24"/>
          <w:szCs w:val="24"/>
        </w:rPr>
      </w:pPr>
    </w:p>
    <w:sectPr w:rsidR="005410F3" w:rsidSect="00AB5677">
      <w:headerReference w:type="default" r:id="rId8"/>
      <w:footerReference w:type="default" r:id="rId9"/>
      <w:pgSz w:w="11906" w:h="16838"/>
      <w:pgMar w:top="709" w:right="1080" w:bottom="993"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4507F" w14:textId="77777777" w:rsidR="00A77480" w:rsidRDefault="00A77480" w:rsidP="00306A9C">
      <w:pPr>
        <w:spacing w:after="0"/>
      </w:pPr>
      <w:r>
        <w:separator/>
      </w:r>
    </w:p>
  </w:endnote>
  <w:endnote w:type="continuationSeparator" w:id="0">
    <w:p w14:paraId="7FC6D474" w14:textId="77777777" w:rsidR="00A77480" w:rsidRDefault="00A77480" w:rsidP="00306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650823"/>
      <w:docPartObj>
        <w:docPartGallery w:val="Page Numbers (Bottom of Page)"/>
        <w:docPartUnique/>
      </w:docPartObj>
    </w:sdtPr>
    <w:sdtEndPr>
      <w:rPr>
        <w:noProof/>
        <w:sz w:val="18"/>
        <w:szCs w:val="18"/>
      </w:rPr>
    </w:sdtEndPr>
    <w:sdtContent>
      <w:p w14:paraId="7B50F8E3" w14:textId="77777777" w:rsidR="00306A9C" w:rsidRPr="00306A9C" w:rsidRDefault="00306A9C">
        <w:pPr>
          <w:pStyle w:val="Footer"/>
          <w:jc w:val="center"/>
          <w:rPr>
            <w:noProof/>
            <w:sz w:val="18"/>
            <w:szCs w:val="18"/>
          </w:rPr>
        </w:pPr>
        <w:r w:rsidRPr="00306A9C">
          <w:rPr>
            <w:sz w:val="18"/>
            <w:szCs w:val="18"/>
          </w:rPr>
          <w:fldChar w:fldCharType="begin"/>
        </w:r>
        <w:r w:rsidRPr="00306A9C">
          <w:rPr>
            <w:sz w:val="18"/>
            <w:szCs w:val="18"/>
          </w:rPr>
          <w:instrText xml:space="preserve"> PAGE   \* MERGEFORMAT </w:instrText>
        </w:r>
        <w:r w:rsidRPr="00306A9C">
          <w:rPr>
            <w:sz w:val="18"/>
            <w:szCs w:val="18"/>
          </w:rPr>
          <w:fldChar w:fldCharType="separate"/>
        </w:r>
        <w:r w:rsidRPr="00306A9C">
          <w:rPr>
            <w:noProof/>
            <w:sz w:val="18"/>
            <w:szCs w:val="18"/>
          </w:rPr>
          <w:t>2</w:t>
        </w:r>
        <w:r w:rsidRPr="00306A9C">
          <w:rPr>
            <w:noProof/>
            <w:sz w:val="18"/>
            <w:szCs w:val="18"/>
          </w:rPr>
          <w:fldChar w:fldCharType="end"/>
        </w:r>
      </w:p>
      <w:p w14:paraId="4968059E" w14:textId="00113E90" w:rsidR="00506F5B" w:rsidRDefault="00506F5B" w:rsidP="00506F5B">
        <w:pPr>
          <w:pStyle w:val="Foote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65F86">
          <w:rPr>
            <w:noProof/>
            <w:sz w:val="18"/>
            <w:szCs w:val="18"/>
          </w:rPr>
          <w:t>AMA Course for Technician Advanced Practice</w:t>
        </w:r>
        <w:r>
          <w:rPr>
            <w:noProof/>
            <w:sz w:val="18"/>
            <w:szCs w:val="18"/>
          </w:rPr>
          <w:t>.docx</w:t>
        </w:r>
        <w:r>
          <w:rPr>
            <w:noProof/>
            <w:sz w:val="18"/>
            <w:szCs w:val="18"/>
          </w:rPr>
          <w:fldChar w:fldCharType="end"/>
        </w:r>
        <w:r>
          <w:rPr>
            <w:noProof/>
            <w:sz w:val="18"/>
            <w:szCs w:val="18"/>
          </w:rPr>
          <w:tab/>
        </w:r>
        <w:r>
          <w:rPr>
            <w:noProof/>
            <w:sz w:val="18"/>
            <w:szCs w:val="18"/>
          </w:rPr>
          <w:tab/>
        </w:r>
        <w:r>
          <w:rPr>
            <w:noProof/>
            <w:sz w:val="18"/>
            <w:szCs w:val="18"/>
          </w:rPr>
          <w:fldChar w:fldCharType="begin"/>
        </w:r>
        <w:r>
          <w:rPr>
            <w:noProof/>
            <w:sz w:val="18"/>
            <w:szCs w:val="18"/>
          </w:rPr>
          <w:instrText xml:space="preserve"> DATE \@ "d-MMM-yy" </w:instrText>
        </w:r>
        <w:r>
          <w:rPr>
            <w:noProof/>
            <w:sz w:val="18"/>
            <w:szCs w:val="18"/>
          </w:rPr>
          <w:fldChar w:fldCharType="separate"/>
        </w:r>
        <w:r w:rsidR="00AE608D">
          <w:rPr>
            <w:noProof/>
            <w:sz w:val="18"/>
            <w:szCs w:val="18"/>
          </w:rPr>
          <w:t>21-Oct-24</w:t>
        </w:r>
        <w:r>
          <w:rPr>
            <w:noProof/>
            <w:sz w:val="18"/>
            <w:szCs w:val="18"/>
          </w:rPr>
          <w:fldChar w:fldCharType="end"/>
        </w:r>
      </w:p>
      <w:p w14:paraId="3890869B" w14:textId="539F8168" w:rsidR="00306A9C" w:rsidRPr="00306A9C" w:rsidRDefault="00506F5B" w:rsidP="00506F5B">
        <w:pPr>
          <w:pStyle w:val="Footer"/>
          <w:rPr>
            <w:sz w:val="18"/>
            <w:szCs w:val="18"/>
          </w:rPr>
        </w:pPr>
        <w:r>
          <w:rPr>
            <w:noProof/>
            <w:sz w:val="18"/>
            <w:szCs w:val="18"/>
          </w:rPr>
          <w:t>K Searby</w:t>
        </w:r>
      </w:p>
    </w:sdtContent>
  </w:sdt>
  <w:p w14:paraId="648515B7" w14:textId="77777777" w:rsidR="00306A9C" w:rsidRDefault="0030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A427" w14:textId="77777777" w:rsidR="00A77480" w:rsidRDefault="00A77480" w:rsidP="00306A9C">
      <w:pPr>
        <w:spacing w:after="0"/>
      </w:pPr>
      <w:r>
        <w:separator/>
      </w:r>
    </w:p>
  </w:footnote>
  <w:footnote w:type="continuationSeparator" w:id="0">
    <w:p w14:paraId="36831C70" w14:textId="77777777" w:rsidR="00A77480" w:rsidRDefault="00A77480" w:rsidP="00306A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090"/>
    </w:tblGrid>
    <w:tr w:rsidR="00AE608D" w14:paraId="0CD117AE" w14:textId="77777777" w:rsidTr="00C157BA">
      <w:tc>
        <w:tcPr>
          <w:tcW w:w="1555" w:type="dxa"/>
        </w:tcPr>
        <w:p w14:paraId="176FD003" w14:textId="77777777" w:rsidR="00AE608D" w:rsidRDefault="00AE608D" w:rsidP="00AE608D">
          <w:pPr>
            <w:jc w:val="center"/>
            <w:rPr>
              <w:rFonts w:cstheme="minorHAnsi"/>
              <w:color w:val="000000"/>
              <w:sz w:val="24"/>
              <w:szCs w:val="24"/>
            </w:rPr>
          </w:pPr>
          <w:r>
            <w:rPr>
              <w:noProof/>
            </w:rPr>
            <w:drawing>
              <wp:inline distT="0" distB="0" distL="0" distR="0" wp14:anchorId="4C8627FB" wp14:editId="51B8A3BF">
                <wp:extent cx="914400" cy="630657"/>
                <wp:effectExtent l="0" t="0" r="0" b="0"/>
                <wp:docPr id="191751092" name="Picture 19175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046" cy="646276"/>
                        </a:xfrm>
                        <a:prstGeom prst="rect">
                          <a:avLst/>
                        </a:prstGeom>
                        <a:noFill/>
                        <a:ln>
                          <a:noFill/>
                        </a:ln>
                      </pic:spPr>
                    </pic:pic>
                  </a:graphicData>
                </a:graphic>
              </wp:inline>
            </w:drawing>
          </w:r>
        </w:p>
      </w:tc>
      <w:tc>
        <w:tcPr>
          <w:tcW w:w="8181" w:type="dxa"/>
        </w:tcPr>
        <w:p w14:paraId="378BB7C4" w14:textId="77777777" w:rsidR="00AE608D" w:rsidRPr="00634C8D" w:rsidRDefault="00AE608D" w:rsidP="00AE608D">
          <w:pPr>
            <w:spacing w:after="0"/>
            <w:jc w:val="center"/>
            <w:rPr>
              <w:b/>
              <w:sz w:val="28"/>
              <w:szCs w:val="28"/>
            </w:rPr>
          </w:pPr>
          <w:r>
            <w:rPr>
              <w:b/>
              <w:spacing w:val="-3"/>
              <w:sz w:val="28"/>
              <w:szCs w:val="28"/>
            </w:rPr>
            <w:t xml:space="preserve">The </w:t>
          </w:r>
          <w:r w:rsidRPr="00634C8D">
            <w:rPr>
              <w:b/>
              <w:sz w:val="28"/>
              <w:szCs w:val="28"/>
            </w:rPr>
            <w:t>Society of Cardiopulmonary Technology (NZ) Ltd</w:t>
          </w:r>
        </w:p>
        <w:p w14:paraId="0615A848" w14:textId="77777777" w:rsidR="00AE608D" w:rsidRDefault="00AE608D" w:rsidP="00AE608D">
          <w:pPr>
            <w:spacing w:after="0" w:line="249" w:lineRule="auto"/>
            <w:jc w:val="center"/>
            <w:rPr>
              <w:sz w:val="16"/>
              <w:szCs w:val="16"/>
            </w:rPr>
          </w:pPr>
          <w:r w:rsidRPr="003F76E0">
            <w:rPr>
              <w:sz w:val="16"/>
              <w:szCs w:val="16"/>
            </w:rPr>
            <w:t xml:space="preserve">c/o Cardiac Physiology, Level3, </w:t>
          </w:r>
          <w:smartTag w:uri="urn:schemas-microsoft-com:office:smarttags" w:element="PlaceName">
            <w:r w:rsidRPr="003F76E0">
              <w:rPr>
                <w:sz w:val="16"/>
                <w:szCs w:val="16"/>
              </w:rPr>
              <w:t>Auckland</w:t>
            </w:r>
          </w:smartTag>
          <w:r w:rsidRPr="003F76E0">
            <w:rPr>
              <w:sz w:val="16"/>
              <w:szCs w:val="16"/>
            </w:rPr>
            <w:t xml:space="preserve"> </w:t>
          </w:r>
          <w:smartTag w:uri="urn:schemas-microsoft-com:office:smarttags" w:element="PlaceType">
            <w:r w:rsidRPr="003F76E0">
              <w:rPr>
                <w:sz w:val="16"/>
                <w:szCs w:val="16"/>
              </w:rPr>
              <w:t>City</w:t>
            </w:r>
          </w:smartTag>
          <w:r w:rsidRPr="003F76E0">
            <w:rPr>
              <w:sz w:val="16"/>
              <w:szCs w:val="16"/>
            </w:rPr>
            <w:t xml:space="preserve"> </w:t>
          </w:r>
          <w:smartTag w:uri="urn:schemas-microsoft-com:office:smarttags" w:element="PlaceType">
            <w:r w:rsidRPr="003F76E0">
              <w:rPr>
                <w:sz w:val="16"/>
                <w:szCs w:val="16"/>
              </w:rPr>
              <w:t>Hospital</w:t>
            </w:r>
          </w:smartTag>
          <w:r w:rsidRPr="003F76E0">
            <w:rPr>
              <w:sz w:val="16"/>
              <w:szCs w:val="16"/>
            </w:rPr>
            <w:t xml:space="preserve">, Private Bag 92024, </w:t>
          </w:r>
          <w:smartTag w:uri="urn:schemas-microsoft-com:office:smarttags" w:element="City">
            <w:r w:rsidRPr="003F76E0">
              <w:rPr>
                <w:sz w:val="16"/>
                <w:szCs w:val="16"/>
              </w:rPr>
              <w:t>Auckland</w:t>
            </w:r>
          </w:smartTag>
          <w:r w:rsidRPr="003F76E0">
            <w:rPr>
              <w:sz w:val="16"/>
              <w:szCs w:val="16"/>
            </w:rPr>
            <w:t xml:space="preserve"> 1142, </w:t>
          </w:r>
          <w:smartTag w:uri="urn:schemas-microsoft-com:office:smarttags" w:element="place">
            <w:smartTag w:uri="urn:schemas-microsoft-com:office:smarttags" w:element="country-region">
              <w:r w:rsidRPr="003F76E0">
                <w:rPr>
                  <w:sz w:val="16"/>
                  <w:szCs w:val="16"/>
                </w:rPr>
                <w:t>New Zealand</w:t>
              </w:r>
            </w:smartTag>
          </w:smartTag>
          <w:r w:rsidRPr="003F76E0">
            <w:rPr>
              <w:sz w:val="16"/>
              <w:szCs w:val="16"/>
            </w:rPr>
            <w:t xml:space="preserve">. </w:t>
          </w:r>
          <w:hyperlink r:id="rId2" w:history="1">
            <w:r w:rsidRPr="003F76E0">
              <w:rPr>
                <w:rStyle w:val="Hyperlink"/>
                <w:sz w:val="16"/>
                <w:szCs w:val="16"/>
              </w:rPr>
              <w:t>www.sct.org.nz</w:t>
            </w:r>
          </w:hyperlink>
        </w:p>
        <w:p w14:paraId="07E58FFA" w14:textId="77777777" w:rsidR="00AE608D" w:rsidRPr="00FB2B05" w:rsidRDefault="00AE608D" w:rsidP="00AE608D">
          <w:pPr>
            <w:pStyle w:val="Header"/>
            <w:jc w:val="center"/>
            <w:rPr>
              <w:color w:val="0000FF"/>
              <w:sz w:val="16"/>
              <w:szCs w:val="16"/>
              <w:u w:val="single"/>
            </w:rPr>
          </w:pPr>
          <w:r w:rsidRPr="003F76E0">
            <w:rPr>
              <w:sz w:val="16"/>
              <w:szCs w:val="16"/>
            </w:rPr>
            <w:t>Telephone (09) 307-4949 extn. 24323.   Email:</w:t>
          </w:r>
          <w:r>
            <w:rPr>
              <w:sz w:val="16"/>
              <w:szCs w:val="16"/>
            </w:rPr>
            <w:t xml:space="preserve"> info@sct.org.nz</w:t>
          </w:r>
        </w:p>
      </w:tc>
    </w:tr>
  </w:tbl>
  <w:p w14:paraId="4A58A815" w14:textId="77777777" w:rsidR="00AE608D" w:rsidRDefault="00AE608D" w:rsidP="00AE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446"/>
    <w:multiLevelType w:val="hybridMultilevel"/>
    <w:tmpl w:val="8354A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F41C4F"/>
    <w:multiLevelType w:val="hybridMultilevel"/>
    <w:tmpl w:val="0E48374C"/>
    <w:lvl w:ilvl="0" w:tplc="564AC4E4">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F214B"/>
    <w:multiLevelType w:val="hybridMultilevel"/>
    <w:tmpl w:val="71322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6F0E45"/>
    <w:multiLevelType w:val="hybridMultilevel"/>
    <w:tmpl w:val="5F8CE0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3F5179F"/>
    <w:multiLevelType w:val="hybridMultilevel"/>
    <w:tmpl w:val="D0504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11576E"/>
    <w:multiLevelType w:val="hybridMultilevel"/>
    <w:tmpl w:val="C1E60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7720DE"/>
    <w:multiLevelType w:val="hybridMultilevel"/>
    <w:tmpl w:val="52946E94"/>
    <w:lvl w:ilvl="0" w:tplc="43FA41C0">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733DF7"/>
    <w:multiLevelType w:val="hybridMultilevel"/>
    <w:tmpl w:val="E004B4A6"/>
    <w:lvl w:ilvl="0" w:tplc="43FA41C0">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20106477">
    <w:abstractNumId w:val="2"/>
  </w:num>
  <w:num w:numId="2" w16cid:durableId="921178485">
    <w:abstractNumId w:val="0"/>
  </w:num>
  <w:num w:numId="3" w16cid:durableId="857698446">
    <w:abstractNumId w:val="5"/>
  </w:num>
  <w:num w:numId="4" w16cid:durableId="1380786692">
    <w:abstractNumId w:val="4"/>
  </w:num>
  <w:num w:numId="5" w16cid:durableId="945120800">
    <w:abstractNumId w:val="3"/>
  </w:num>
  <w:num w:numId="6" w16cid:durableId="139230697">
    <w:abstractNumId w:val="7"/>
  </w:num>
  <w:num w:numId="7" w16cid:durableId="1844006567">
    <w:abstractNumId w:val="1"/>
  </w:num>
  <w:num w:numId="8" w16cid:durableId="722824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13"/>
    <w:rsid w:val="00001BC7"/>
    <w:rsid w:val="00013974"/>
    <w:rsid w:val="00015682"/>
    <w:rsid w:val="00022AC6"/>
    <w:rsid w:val="00040590"/>
    <w:rsid w:val="00075008"/>
    <w:rsid w:val="00092F3B"/>
    <w:rsid w:val="00096090"/>
    <w:rsid w:val="000F25F7"/>
    <w:rsid w:val="000F6768"/>
    <w:rsid w:val="000F692C"/>
    <w:rsid w:val="00166475"/>
    <w:rsid w:val="00173AFC"/>
    <w:rsid w:val="00175821"/>
    <w:rsid w:val="002034A9"/>
    <w:rsid w:val="00215EF2"/>
    <w:rsid w:val="00220122"/>
    <w:rsid w:val="002215D4"/>
    <w:rsid w:val="00227DF0"/>
    <w:rsid w:val="00233414"/>
    <w:rsid w:val="00262F1D"/>
    <w:rsid w:val="002802D9"/>
    <w:rsid w:val="002A06B1"/>
    <w:rsid w:val="002D2D9B"/>
    <w:rsid w:val="00306A9C"/>
    <w:rsid w:val="00326813"/>
    <w:rsid w:val="0033464A"/>
    <w:rsid w:val="00334C64"/>
    <w:rsid w:val="00374015"/>
    <w:rsid w:val="003A26E8"/>
    <w:rsid w:val="003D4C79"/>
    <w:rsid w:val="003D6895"/>
    <w:rsid w:val="00437ECC"/>
    <w:rsid w:val="00443E9E"/>
    <w:rsid w:val="004B50B7"/>
    <w:rsid w:val="004C12B6"/>
    <w:rsid w:val="004E1209"/>
    <w:rsid w:val="004E22E8"/>
    <w:rsid w:val="004F439C"/>
    <w:rsid w:val="00506F5B"/>
    <w:rsid w:val="00512913"/>
    <w:rsid w:val="005410F3"/>
    <w:rsid w:val="00563B1B"/>
    <w:rsid w:val="00573071"/>
    <w:rsid w:val="005B0015"/>
    <w:rsid w:val="005F7C5E"/>
    <w:rsid w:val="00640042"/>
    <w:rsid w:val="006546CA"/>
    <w:rsid w:val="006556E4"/>
    <w:rsid w:val="00670449"/>
    <w:rsid w:val="00676795"/>
    <w:rsid w:val="00683C42"/>
    <w:rsid w:val="006C10D4"/>
    <w:rsid w:val="007553DC"/>
    <w:rsid w:val="007C1396"/>
    <w:rsid w:val="007C160C"/>
    <w:rsid w:val="007C45BA"/>
    <w:rsid w:val="007D150C"/>
    <w:rsid w:val="007E4D1A"/>
    <w:rsid w:val="007E74BA"/>
    <w:rsid w:val="00802123"/>
    <w:rsid w:val="00802B93"/>
    <w:rsid w:val="0080383C"/>
    <w:rsid w:val="00815B71"/>
    <w:rsid w:val="00821CF0"/>
    <w:rsid w:val="00847FDB"/>
    <w:rsid w:val="008571D0"/>
    <w:rsid w:val="00862720"/>
    <w:rsid w:val="00896E4F"/>
    <w:rsid w:val="008A05A9"/>
    <w:rsid w:val="008B4A63"/>
    <w:rsid w:val="008D471A"/>
    <w:rsid w:val="008F3D20"/>
    <w:rsid w:val="008F76B1"/>
    <w:rsid w:val="0091796B"/>
    <w:rsid w:val="00954E8A"/>
    <w:rsid w:val="00971DBF"/>
    <w:rsid w:val="00972A51"/>
    <w:rsid w:val="009E3F26"/>
    <w:rsid w:val="009E5E3C"/>
    <w:rsid w:val="009F3C5C"/>
    <w:rsid w:val="00A07FED"/>
    <w:rsid w:val="00A12220"/>
    <w:rsid w:val="00A31D3A"/>
    <w:rsid w:val="00A3294F"/>
    <w:rsid w:val="00A53F6D"/>
    <w:rsid w:val="00A5710F"/>
    <w:rsid w:val="00A65F86"/>
    <w:rsid w:val="00A719ED"/>
    <w:rsid w:val="00A77480"/>
    <w:rsid w:val="00A7749C"/>
    <w:rsid w:val="00A94DDB"/>
    <w:rsid w:val="00AA28E4"/>
    <w:rsid w:val="00AA48B8"/>
    <w:rsid w:val="00AA58B1"/>
    <w:rsid w:val="00AB5677"/>
    <w:rsid w:val="00AD2AE1"/>
    <w:rsid w:val="00AD7BB3"/>
    <w:rsid w:val="00AE608D"/>
    <w:rsid w:val="00AE7C5B"/>
    <w:rsid w:val="00B04F69"/>
    <w:rsid w:val="00B240AC"/>
    <w:rsid w:val="00B71C71"/>
    <w:rsid w:val="00B77C00"/>
    <w:rsid w:val="00BC632D"/>
    <w:rsid w:val="00BC6394"/>
    <w:rsid w:val="00BD5C5A"/>
    <w:rsid w:val="00BF23E6"/>
    <w:rsid w:val="00BF2E82"/>
    <w:rsid w:val="00C11CB4"/>
    <w:rsid w:val="00C26FEB"/>
    <w:rsid w:val="00C354C0"/>
    <w:rsid w:val="00C5048D"/>
    <w:rsid w:val="00C57B51"/>
    <w:rsid w:val="00C76393"/>
    <w:rsid w:val="00C77E20"/>
    <w:rsid w:val="00C833B4"/>
    <w:rsid w:val="00C8798F"/>
    <w:rsid w:val="00C96068"/>
    <w:rsid w:val="00C96392"/>
    <w:rsid w:val="00C96E8E"/>
    <w:rsid w:val="00CA3CDB"/>
    <w:rsid w:val="00CA428B"/>
    <w:rsid w:val="00CA7AB2"/>
    <w:rsid w:val="00CB5AD8"/>
    <w:rsid w:val="00CD37D3"/>
    <w:rsid w:val="00CF6C28"/>
    <w:rsid w:val="00CF6E18"/>
    <w:rsid w:val="00D12B0D"/>
    <w:rsid w:val="00D358C0"/>
    <w:rsid w:val="00D51F15"/>
    <w:rsid w:val="00D55987"/>
    <w:rsid w:val="00D64415"/>
    <w:rsid w:val="00D7661B"/>
    <w:rsid w:val="00D91A1A"/>
    <w:rsid w:val="00DA1633"/>
    <w:rsid w:val="00DB22B5"/>
    <w:rsid w:val="00DC7A68"/>
    <w:rsid w:val="00DD0104"/>
    <w:rsid w:val="00E23EE1"/>
    <w:rsid w:val="00E316A0"/>
    <w:rsid w:val="00E33008"/>
    <w:rsid w:val="00E332ED"/>
    <w:rsid w:val="00E736E5"/>
    <w:rsid w:val="00E75D3A"/>
    <w:rsid w:val="00EA6344"/>
    <w:rsid w:val="00EC0351"/>
    <w:rsid w:val="00EE327E"/>
    <w:rsid w:val="00F11969"/>
    <w:rsid w:val="00F35C5A"/>
    <w:rsid w:val="00F66CFC"/>
    <w:rsid w:val="00F83FCA"/>
    <w:rsid w:val="00FA1DCB"/>
    <w:rsid w:val="00FB2B05"/>
    <w:rsid w:val="00FD7B72"/>
    <w:rsid w:val="00FE73DA"/>
    <w:rsid w:val="00FE7D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29B9ED3"/>
  <w15:chartTrackingRefBased/>
  <w15:docId w15:val="{004583DE-06D2-435C-9EE0-AF5A3095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A9C"/>
    <w:pPr>
      <w:tabs>
        <w:tab w:val="center" w:pos="4513"/>
        <w:tab w:val="right" w:pos="9026"/>
      </w:tabs>
      <w:spacing w:after="0"/>
    </w:pPr>
  </w:style>
  <w:style w:type="character" w:customStyle="1" w:styleId="HeaderChar">
    <w:name w:val="Header Char"/>
    <w:basedOn w:val="DefaultParagraphFont"/>
    <w:link w:val="Header"/>
    <w:uiPriority w:val="99"/>
    <w:rsid w:val="00306A9C"/>
  </w:style>
  <w:style w:type="paragraph" w:styleId="Footer">
    <w:name w:val="footer"/>
    <w:basedOn w:val="Normal"/>
    <w:link w:val="FooterChar"/>
    <w:uiPriority w:val="99"/>
    <w:unhideWhenUsed/>
    <w:rsid w:val="00306A9C"/>
    <w:pPr>
      <w:tabs>
        <w:tab w:val="center" w:pos="4513"/>
        <w:tab w:val="right" w:pos="9026"/>
      </w:tabs>
      <w:spacing w:after="0"/>
    </w:pPr>
  </w:style>
  <w:style w:type="character" w:customStyle="1" w:styleId="FooterChar">
    <w:name w:val="Footer Char"/>
    <w:basedOn w:val="DefaultParagraphFont"/>
    <w:link w:val="Footer"/>
    <w:uiPriority w:val="99"/>
    <w:rsid w:val="00306A9C"/>
  </w:style>
  <w:style w:type="paragraph" w:styleId="ListParagraph">
    <w:name w:val="List Paragraph"/>
    <w:basedOn w:val="Normal"/>
    <w:uiPriority w:val="34"/>
    <w:qFormat/>
    <w:rsid w:val="00306A9C"/>
    <w:pPr>
      <w:ind w:left="720"/>
      <w:contextualSpacing/>
    </w:pPr>
  </w:style>
  <w:style w:type="character" w:customStyle="1" w:styleId="il">
    <w:name w:val="il"/>
    <w:basedOn w:val="DefaultParagraphFont"/>
    <w:rsid w:val="00A53F6D"/>
  </w:style>
  <w:style w:type="character" w:styleId="Hyperlink">
    <w:name w:val="Hyperlink"/>
    <w:basedOn w:val="DefaultParagraphFont"/>
    <w:unhideWhenUsed/>
    <w:rsid w:val="00FB2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58749132">
          <w:marLeft w:val="0"/>
          <w:marRight w:val="0"/>
          <w:marTop w:val="0"/>
          <w:marBottom w:val="0"/>
          <w:divBdr>
            <w:top w:val="none" w:sz="0" w:space="0" w:color="auto"/>
            <w:left w:val="none" w:sz="0" w:space="0" w:color="auto"/>
            <w:bottom w:val="none" w:sz="0" w:space="0" w:color="auto"/>
            <w:right w:val="none" w:sz="0" w:space="0" w:color="auto"/>
          </w:divBdr>
        </w:div>
        <w:div w:id="2035308485">
          <w:marLeft w:val="0"/>
          <w:marRight w:val="0"/>
          <w:marTop w:val="0"/>
          <w:marBottom w:val="0"/>
          <w:divBdr>
            <w:top w:val="none" w:sz="0" w:space="0" w:color="auto"/>
            <w:left w:val="none" w:sz="0" w:space="0" w:color="auto"/>
            <w:bottom w:val="none" w:sz="0" w:space="0" w:color="auto"/>
            <w:right w:val="none" w:sz="0" w:space="0" w:color="auto"/>
          </w:divBdr>
        </w:div>
        <w:div w:id="1156651890">
          <w:marLeft w:val="0"/>
          <w:marRight w:val="0"/>
          <w:marTop w:val="0"/>
          <w:marBottom w:val="0"/>
          <w:divBdr>
            <w:top w:val="none" w:sz="0" w:space="0" w:color="auto"/>
            <w:left w:val="none" w:sz="0" w:space="0" w:color="auto"/>
            <w:bottom w:val="none" w:sz="0" w:space="0" w:color="auto"/>
            <w:right w:val="none" w:sz="0" w:space="0" w:color="auto"/>
          </w:divBdr>
        </w:div>
        <w:div w:id="1690908272">
          <w:marLeft w:val="0"/>
          <w:marRight w:val="0"/>
          <w:marTop w:val="0"/>
          <w:marBottom w:val="0"/>
          <w:divBdr>
            <w:top w:val="none" w:sz="0" w:space="0" w:color="auto"/>
            <w:left w:val="none" w:sz="0" w:space="0" w:color="auto"/>
            <w:bottom w:val="none" w:sz="0" w:space="0" w:color="auto"/>
            <w:right w:val="none" w:sz="0" w:space="0" w:color="auto"/>
          </w:divBdr>
        </w:div>
        <w:div w:id="2076661909">
          <w:marLeft w:val="0"/>
          <w:marRight w:val="0"/>
          <w:marTop w:val="0"/>
          <w:marBottom w:val="0"/>
          <w:divBdr>
            <w:top w:val="none" w:sz="0" w:space="0" w:color="auto"/>
            <w:left w:val="none" w:sz="0" w:space="0" w:color="auto"/>
            <w:bottom w:val="none" w:sz="0" w:space="0" w:color="auto"/>
            <w:right w:val="none" w:sz="0" w:space="0" w:color="auto"/>
          </w:divBdr>
        </w:div>
        <w:div w:id="1744907022">
          <w:marLeft w:val="0"/>
          <w:marRight w:val="0"/>
          <w:marTop w:val="0"/>
          <w:marBottom w:val="0"/>
          <w:divBdr>
            <w:top w:val="none" w:sz="0" w:space="0" w:color="auto"/>
            <w:left w:val="none" w:sz="0" w:space="0" w:color="auto"/>
            <w:bottom w:val="none" w:sz="0" w:space="0" w:color="auto"/>
            <w:right w:val="none" w:sz="0" w:space="0" w:color="auto"/>
          </w:divBdr>
        </w:div>
        <w:div w:id="1339653534">
          <w:marLeft w:val="0"/>
          <w:marRight w:val="0"/>
          <w:marTop w:val="0"/>
          <w:marBottom w:val="0"/>
          <w:divBdr>
            <w:top w:val="none" w:sz="0" w:space="0" w:color="auto"/>
            <w:left w:val="none" w:sz="0" w:space="0" w:color="auto"/>
            <w:bottom w:val="none" w:sz="0" w:space="0" w:color="auto"/>
            <w:right w:val="none" w:sz="0" w:space="0" w:color="auto"/>
          </w:divBdr>
        </w:div>
        <w:div w:id="1298223305">
          <w:marLeft w:val="0"/>
          <w:marRight w:val="0"/>
          <w:marTop w:val="0"/>
          <w:marBottom w:val="0"/>
          <w:divBdr>
            <w:top w:val="none" w:sz="0" w:space="0" w:color="auto"/>
            <w:left w:val="none" w:sz="0" w:space="0" w:color="auto"/>
            <w:bottom w:val="none" w:sz="0" w:space="0" w:color="auto"/>
            <w:right w:val="none" w:sz="0" w:space="0" w:color="auto"/>
          </w:divBdr>
        </w:div>
        <w:div w:id="1197501670">
          <w:marLeft w:val="0"/>
          <w:marRight w:val="0"/>
          <w:marTop w:val="0"/>
          <w:marBottom w:val="0"/>
          <w:divBdr>
            <w:top w:val="none" w:sz="0" w:space="0" w:color="auto"/>
            <w:left w:val="none" w:sz="0" w:space="0" w:color="auto"/>
            <w:bottom w:val="none" w:sz="0" w:space="0" w:color="auto"/>
            <w:right w:val="none" w:sz="0" w:space="0" w:color="auto"/>
          </w:divBdr>
        </w:div>
      </w:divsChild>
    </w:div>
    <w:div w:id="2072001021">
      <w:bodyDiv w:val="1"/>
      <w:marLeft w:val="0"/>
      <w:marRight w:val="0"/>
      <w:marTop w:val="0"/>
      <w:marBottom w:val="0"/>
      <w:divBdr>
        <w:top w:val="none" w:sz="0" w:space="0" w:color="auto"/>
        <w:left w:val="none" w:sz="0" w:space="0" w:color="auto"/>
        <w:bottom w:val="none" w:sz="0" w:space="0" w:color="auto"/>
        <w:right w:val="none" w:sz="0" w:space="0" w:color="auto"/>
      </w:divBdr>
      <w:divsChild>
        <w:div w:id="81896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ct.org.n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D585-0ED0-4934-89FC-381F7D59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SearbyPC</dc:creator>
  <cp:keywords/>
  <dc:description/>
  <cp:lastModifiedBy>Karen Searby</cp:lastModifiedBy>
  <cp:revision>2</cp:revision>
  <dcterms:created xsi:type="dcterms:W3CDTF">2024-10-20T20:27:00Z</dcterms:created>
  <dcterms:modified xsi:type="dcterms:W3CDTF">2024-10-20T20:27:00Z</dcterms:modified>
</cp:coreProperties>
</file>